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6B" w:rsidRDefault="00F43A6B" w:rsidP="00F43A6B">
      <w:pPr>
        <w:rPr>
          <w:rFonts w:ascii="Calibri" w:eastAsia="Times New Roman" w:hAnsi="Calibri"/>
          <w:color w:val="000000"/>
        </w:rPr>
      </w:pPr>
      <w:r>
        <w:rPr>
          <w:rFonts w:ascii="Calibri" w:eastAsia="Times New Roman" w:hAnsi="Calibri"/>
          <w:b/>
          <w:bCs/>
          <w:i/>
          <w:iCs/>
          <w:color w:val="000000"/>
        </w:rPr>
        <w:t>US </w:t>
      </w:r>
      <w:r>
        <w:rPr>
          <w:rFonts w:ascii="Calibri" w:eastAsia="Times New Roman" w:hAnsi="Calibri"/>
          <w:b/>
          <w:bCs/>
          <w:i/>
          <w:iCs/>
          <w:color w:val="201F1E"/>
          <w:sz w:val="22"/>
          <w:szCs w:val="22"/>
          <w:shd w:val="clear" w:color="auto" w:fill="FFFFFF"/>
        </w:rPr>
        <w:t>Senate Committee on Health, Education, Labor and Pensions</w:t>
      </w:r>
      <w:r>
        <w:rPr>
          <w:rFonts w:ascii="Calibri" w:eastAsia="Times New Roman" w:hAnsi="Calibri"/>
          <w:b/>
          <w:bCs/>
          <w:i/>
          <w:iCs/>
          <w:color w:val="201F1E"/>
          <w:sz w:val="22"/>
          <w:szCs w:val="22"/>
          <w:shd w:val="clear" w:color="auto" w:fill="FFFFFF"/>
        </w:rPr>
        <w:t xml:space="preserve"> Internship Program</w:t>
      </w:r>
      <w:bookmarkStart w:id="0" w:name="_GoBack"/>
      <w:bookmarkEnd w:id="0"/>
      <w:r>
        <w:rPr>
          <w:rFonts w:ascii="Calibri" w:eastAsia="Times New Roman" w:hAnsi="Calibri"/>
          <w:b/>
          <w:bCs/>
          <w:i/>
          <w:iCs/>
          <w:color w:val="201F1E"/>
          <w:sz w:val="22"/>
          <w:szCs w:val="22"/>
          <w:shd w:val="clear" w:color="auto" w:fill="FFFFFF"/>
        </w:rPr>
        <w:t xml:space="preserve"> </w:t>
      </w:r>
    </w:p>
    <w:p w:rsidR="00F43A6B" w:rsidRDefault="00F43A6B" w:rsidP="00F43A6B">
      <w:pPr>
        <w:pStyle w:val="NormalWeb"/>
        <w:shd w:val="clear" w:color="auto" w:fill="FFFFFF"/>
        <w:rPr>
          <w:rFonts w:ascii="Calibri" w:hAnsi="Calibri"/>
          <w:color w:val="201F1E"/>
          <w:sz w:val="22"/>
          <w:szCs w:val="22"/>
          <w:shd w:val="clear" w:color="auto" w:fill="FFFFFF"/>
        </w:rPr>
      </w:pP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color w:val="201F1E"/>
          <w:sz w:val="22"/>
          <w:szCs w:val="22"/>
          <w:shd w:val="clear" w:color="auto" w:fill="FFFFFF"/>
        </w:rPr>
        <w:t>The Senate Committee on Health, Education, Labor and Pensions is currently accepting applications for spring 2020 internships/clerkships in our Washington D.C. office. We invite your students and applicants to apply to the following opportunities. Below you can find our current clerkship opportunities for students for spring 2020:</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color w:val="201F1E"/>
          <w:sz w:val="22"/>
          <w:szCs w:val="22"/>
          <w:shd w:val="clear" w:color="auto" w:fill="FFFFFF"/>
        </w:rPr>
        <w:t>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color w:val="201F1E"/>
          <w:sz w:val="22"/>
          <w:szCs w:val="22"/>
          <w:shd w:val="clear" w:color="auto" w:fill="FFFFFF"/>
        </w:rPr>
        <w:t xml:space="preserve">The U.S. Senate Committee on Health, Education, Labor, and Pensions (HELP), Office of the Ranking Member, seeks unpaid interns and law clerks for the spring of 2020. The positions offer undergraduate, graduate, and law students the opportunity to gain substantive experience in a Senate office while participating directly in the legislative process. Intern and law clerk responsibilities include, but are not limited </w:t>
      </w:r>
      <w:proofErr w:type="gramStart"/>
      <w:r>
        <w:rPr>
          <w:rFonts w:ascii="Calibri" w:hAnsi="Calibri"/>
          <w:color w:val="201F1E"/>
          <w:sz w:val="22"/>
          <w:szCs w:val="22"/>
          <w:shd w:val="clear" w:color="auto" w:fill="FFFFFF"/>
        </w:rPr>
        <w:t>to:</w:t>
      </w:r>
      <w:proofErr w:type="gramEnd"/>
      <w:r>
        <w:rPr>
          <w:rFonts w:ascii="Calibri" w:hAnsi="Calibri"/>
          <w:color w:val="201F1E"/>
          <w:sz w:val="22"/>
          <w:szCs w:val="22"/>
          <w:shd w:val="clear" w:color="auto" w:fill="FFFFFF"/>
        </w:rPr>
        <w:t xml:space="preserve"> assisting Committee staff in performing office duties, conducting research, analyzing legislation, drafting memorandums, and assisting in hearing preparation. </w:t>
      </w:r>
      <w:proofErr w:type="gramStart"/>
      <w:r>
        <w:rPr>
          <w:rFonts w:ascii="Calibri" w:hAnsi="Calibri"/>
          <w:color w:val="201F1E"/>
          <w:sz w:val="22"/>
          <w:szCs w:val="22"/>
          <w:shd w:val="clear" w:color="auto" w:fill="FFFFFF"/>
        </w:rPr>
        <w:t>Interns and law clerks play a key role in the office and will work closely with senior policy advisors and counsels.</w:t>
      </w:r>
      <w:proofErr w:type="gramEnd"/>
      <w:r>
        <w:rPr>
          <w:rFonts w:ascii="Calibri" w:hAnsi="Calibri"/>
          <w:color w:val="201F1E"/>
          <w:sz w:val="22"/>
          <w:szCs w:val="22"/>
          <w:shd w:val="clear" w:color="auto" w:fill="FFFFFF"/>
        </w:rPr>
        <w:t>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shd w:val="clear" w:color="auto" w:fill="FFFFFF"/>
        </w:rPr>
        <w:t>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u w:val="single"/>
          <w:shd w:val="clear" w:color="auto" w:fill="FFFFFF"/>
        </w:rPr>
        <w:t>HELP Committee:</w:t>
      </w:r>
      <w:r>
        <w:rPr>
          <w:rFonts w:ascii="Calibri" w:hAnsi="Calibri"/>
          <w:b/>
          <w:bCs/>
          <w:color w:val="201F1E"/>
          <w:sz w:val="22"/>
          <w:szCs w:val="22"/>
          <w:shd w:val="clear" w:color="auto" w:fill="FFFFFF"/>
        </w:rPr>
        <w:t>  </w:t>
      </w:r>
      <w:r>
        <w:rPr>
          <w:rFonts w:ascii="Calibri" w:hAnsi="Calibri"/>
          <w:color w:val="201F1E"/>
          <w:sz w:val="22"/>
          <w:szCs w:val="22"/>
          <w:shd w:val="clear" w:color="auto" w:fill="FFFFFF"/>
        </w:rPr>
        <w:t>The HELP Committee works on a wide range of issues in the areas of health, education, labor, workforce, pensions, and oversight. Please specify within your application which office or offices you would prefer to work in.</w:t>
      </w:r>
      <w:r>
        <w:rPr>
          <w:rFonts w:ascii="Calibri" w:hAnsi="Calibri"/>
          <w:color w:val="201F1E"/>
          <w:sz w:val="22"/>
          <w:szCs w:val="22"/>
          <w:shd w:val="clear" w:color="auto" w:fill="FFFFFF"/>
        </w:rPr>
        <w:br/>
      </w:r>
      <w:r>
        <w:rPr>
          <w:rFonts w:ascii="Calibri" w:hAnsi="Calibri"/>
          <w:color w:val="201F1E"/>
          <w:sz w:val="22"/>
          <w:szCs w:val="22"/>
          <w:shd w:val="clear" w:color="auto" w:fill="FFFFFF"/>
        </w:rPr>
        <w:br/>
      </w:r>
      <w:r>
        <w:rPr>
          <w:rFonts w:ascii="Calibri" w:hAnsi="Calibri"/>
          <w:b/>
          <w:bCs/>
          <w:color w:val="201F1E"/>
          <w:sz w:val="22"/>
          <w:szCs w:val="22"/>
          <w:u w:val="single"/>
          <w:shd w:val="clear" w:color="auto" w:fill="FFFFFF"/>
        </w:rPr>
        <w:t>Qualifications</w:t>
      </w:r>
      <w:r>
        <w:rPr>
          <w:rFonts w:ascii="Calibri" w:hAnsi="Calibri"/>
          <w:color w:val="201F1E"/>
          <w:sz w:val="22"/>
          <w:szCs w:val="22"/>
          <w:u w:val="single"/>
          <w:shd w:val="clear" w:color="auto" w:fill="FFFFFF"/>
        </w:rPr>
        <w:t>:</w:t>
      </w:r>
      <w:r>
        <w:rPr>
          <w:rFonts w:ascii="Calibri" w:hAnsi="Calibri"/>
          <w:color w:val="201F1E"/>
          <w:sz w:val="22"/>
          <w:szCs w:val="22"/>
          <w:shd w:val="clear" w:color="auto" w:fill="FFFFFF"/>
        </w:rPr>
        <w:t>  Applicants should have (</w:t>
      </w:r>
      <w:proofErr w:type="spellStart"/>
      <w:r>
        <w:rPr>
          <w:rFonts w:ascii="Calibri" w:hAnsi="Calibri"/>
          <w:color w:val="201F1E"/>
          <w:sz w:val="22"/>
          <w:szCs w:val="22"/>
          <w:shd w:val="clear" w:color="auto" w:fill="FFFFFF"/>
        </w:rPr>
        <w:t>i</w:t>
      </w:r>
      <w:proofErr w:type="spellEnd"/>
      <w:r>
        <w:rPr>
          <w:rFonts w:ascii="Calibri" w:hAnsi="Calibri"/>
          <w:color w:val="201F1E"/>
          <w:sz w:val="22"/>
          <w:szCs w:val="22"/>
          <w:shd w:val="clear" w:color="auto" w:fill="FFFFFF"/>
        </w:rPr>
        <w:t>) an interest in public policy and (ii) a desire to learn.  They also must have good attention to detail, work well under pressure, be self-motivated, and possess excellent written and oral communication skills.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color w:val="201F1E"/>
          <w:sz w:val="22"/>
          <w:szCs w:val="22"/>
          <w:shd w:val="clear" w:color="auto" w:fill="FFFFFF"/>
        </w:rPr>
        <w:softHyphen/>
      </w:r>
      <w:r>
        <w:rPr>
          <w:rFonts w:ascii="Calibri" w:hAnsi="Calibri"/>
          <w:color w:val="201F1E"/>
          <w:sz w:val="22"/>
          <w:szCs w:val="22"/>
          <w:shd w:val="clear" w:color="auto" w:fill="FFFFFF"/>
        </w:rPr>
        <w:softHyphen/>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u w:val="single"/>
          <w:shd w:val="clear" w:color="auto" w:fill="FFFFFF"/>
        </w:rPr>
        <w:t>Openings: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shd w:val="clear" w:color="auto" w:fill="FFFFFF"/>
        </w:rPr>
        <w:t>Health Policy Intern:</w:t>
      </w:r>
      <w:r>
        <w:rPr>
          <w:rFonts w:ascii="Calibri" w:hAnsi="Calibri"/>
          <w:color w:val="201F1E"/>
          <w:sz w:val="22"/>
          <w:szCs w:val="22"/>
          <w:shd w:val="clear" w:color="auto" w:fill="FFFFFF"/>
        </w:rPr>
        <w:t> interest and experience in health-related matters, including but not limited to: the Affordable Care Act, the Centers for Disease Control and Prevention, children’s health, the Food and Drug Administration, health equity/disparities, health information technology, health workforce, Medicare/Medicaid, mental health, the National Institutes of Health, public health and preparedness, and/or women’s health.</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shd w:val="clear" w:color="auto" w:fill="FFFFFF"/>
        </w:rPr>
        <w:t>Education Policy Intern:</w:t>
      </w:r>
      <w:r>
        <w:rPr>
          <w:rFonts w:ascii="Calibri" w:hAnsi="Calibri"/>
          <w:color w:val="201F1E"/>
          <w:sz w:val="22"/>
          <w:szCs w:val="22"/>
          <w:shd w:val="clear" w:color="auto" w:fill="FFFFFF"/>
        </w:rPr>
        <w:t xml:space="preserve"> interest in education-related policy, </w:t>
      </w:r>
      <w:proofErr w:type="gramStart"/>
      <w:r>
        <w:rPr>
          <w:rFonts w:ascii="Calibri" w:hAnsi="Calibri"/>
          <w:color w:val="201F1E"/>
          <w:sz w:val="22"/>
          <w:szCs w:val="22"/>
          <w:shd w:val="clear" w:color="auto" w:fill="FFFFFF"/>
        </w:rPr>
        <w:t>including:</w:t>
      </w:r>
      <w:proofErr w:type="gramEnd"/>
      <w:r>
        <w:rPr>
          <w:rFonts w:ascii="Calibri" w:hAnsi="Calibri"/>
          <w:color w:val="201F1E"/>
          <w:sz w:val="22"/>
          <w:szCs w:val="22"/>
          <w:shd w:val="clear" w:color="auto" w:fill="FFFFFF"/>
        </w:rPr>
        <w:t xml:space="preserve"> early childhood, k-12, postsecondary, workforce, and civil rights issues. Interest or experience teaching or working with students encouraged.</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shd w:val="clear" w:color="auto" w:fill="FFFFFF"/>
        </w:rPr>
        <w:t>Labor Policy Law Clerk</w:t>
      </w:r>
      <w:r>
        <w:rPr>
          <w:rFonts w:ascii="Calibri" w:hAnsi="Calibri"/>
          <w:color w:val="201F1E"/>
          <w:sz w:val="22"/>
          <w:szCs w:val="22"/>
          <w:shd w:val="clear" w:color="auto" w:fill="FFFFFF"/>
        </w:rPr>
        <w:t>: clerkship open to current law students or recent law school graduates who have an interest in or experience in issues facing workers, including workers’ rights, minimum wage and overtime, union rights and collective bargaining, inequality, occupational safety and health, international labor rights, family and medical leave, equal pay, and equal employment opportunity and civil rights.</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shd w:val="clear" w:color="auto" w:fill="FFFFFF"/>
        </w:rPr>
        <w:t>Pensions Intern or Law Clerk:</w:t>
      </w:r>
      <w:r>
        <w:rPr>
          <w:rFonts w:ascii="Calibri" w:hAnsi="Calibri"/>
          <w:color w:val="201F1E"/>
          <w:sz w:val="22"/>
          <w:szCs w:val="22"/>
          <w:shd w:val="clear" w:color="auto" w:fill="FFFFFF"/>
        </w:rPr>
        <w:t> clerkship open to current law students and LLM candidates who have an interest in retirement policy. The Pensions team covers a wide range of topics from multiemployer defined benefit pension plans to 401(k</w:t>
      </w:r>
      <w:proofErr w:type="gramStart"/>
      <w:r>
        <w:rPr>
          <w:rFonts w:ascii="Calibri" w:hAnsi="Calibri"/>
          <w:color w:val="201F1E"/>
          <w:sz w:val="22"/>
          <w:szCs w:val="22"/>
          <w:shd w:val="clear" w:color="auto" w:fill="FFFFFF"/>
        </w:rPr>
        <w:t>)s</w:t>
      </w:r>
      <w:proofErr w:type="gramEnd"/>
      <w:r>
        <w:rPr>
          <w:rFonts w:ascii="Calibri" w:hAnsi="Calibri"/>
          <w:color w:val="201F1E"/>
          <w:sz w:val="22"/>
          <w:szCs w:val="22"/>
          <w:shd w:val="clear" w:color="auto" w:fill="FFFFFF"/>
        </w:rPr>
        <w:t xml:space="preserve"> to DOL’s conflicts of interest rule to coverage and leakage policies, among many other issues.  Please note relevant classes taken, if any, in your cover letter.</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shd w:val="clear" w:color="auto" w:fill="FFFFFF"/>
        </w:rPr>
        <w:t>Oversight Law Clerk</w:t>
      </w:r>
      <w:r>
        <w:rPr>
          <w:rFonts w:ascii="Calibri" w:hAnsi="Calibri"/>
          <w:color w:val="201F1E"/>
          <w:sz w:val="22"/>
          <w:szCs w:val="22"/>
          <w:shd w:val="clear" w:color="auto" w:fill="FFFFFF"/>
        </w:rPr>
        <w:t>: clerkship open to current law students or recent law school graduates who are interested</w:t>
      </w:r>
      <w:r>
        <w:rPr>
          <w:rFonts w:ascii="Calibri" w:hAnsi="Calibri"/>
          <w:b/>
          <w:bCs/>
          <w:color w:val="201F1E"/>
          <w:sz w:val="22"/>
          <w:szCs w:val="22"/>
          <w:shd w:val="clear" w:color="auto" w:fill="FFFFFF"/>
        </w:rPr>
        <w:t> </w:t>
      </w:r>
      <w:r>
        <w:rPr>
          <w:rFonts w:ascii="Calibri" w:hAnsi="Calibri"/>
          <w:color w:val="201F1E"/>
          <w:sz w:val="22"/>
          <w:szCs w:val="22"/>
          <w:shd w:val="clear" w:color="auto" w:fill="FFFFFF"/>
        </w:rPr>
        <w:t>in health, education, and labor law and policies that strive to protect consumers, workers, and the public. Previous experience in government is not required but candidates should have a general understanding of the legislative process.</w:t>
      </w:r>
    </w:p>
    <w:p w:rsidR="00F43A6B" w:rsidRDefault="00F43A6B" w:rsidP="00F43A6B">
      <w:pPr>
        <w:shd w:val="clear" w:color="auto" w:fill="FFFFFF"/>
        <w:rPr>
          <w:rFonts w:ascii="Calibri" w:eastAsia="Times New Roman" w:hAnsi="Calibri"/>
          <w:color w:val="201F1E"/>
          <w:sz w:val="22"/>
          <w:szCs w:val="22"/>
          <w:shd w:val="clear" w:color="auto" w:fill="FFFFFF"/>
        </w:rPr>
      </w:pPr>
      <w:r>
        <w:rPr>
          <w:rStyle w:val="Strong"/>
          <w:rFonts w:ascii="Calibri" w:eastAsia="Times New Roman" w:hAnsi="Calibri"/>
          <w:color w:val="000000"/>
          <w:sz w:val="22"/>
          <w:szCs w:val="22"/>
          <w:shd w:val="clear" w:color="auto" w:fill="FFFFFF"/>
        </w:rPr>
        <w:t>Disability Policy Intern or Law Clerk:</w:t>
      </w:r>
      <w:r>
        <w:rPr>
          <w:rFonts w:ascii="Calibri" w:eastAsia="Times New Roman" w:hAnsi="Calibri"/>
          <w:color w:val="000000"/>
          <w:sz w:val="22"/>
          <w:szCs w:val="22"/>
          <w:shd w:val="clear" w:color="auto" w:fill="FFFFFF"/>
        </w:rPr>
        <w:t xml:space="preserve"> interest in issues and policy as it relates to individuals with disabilities that may include: equitable educational opportunities, the Individuals with Disabilities Education Act, seclusion and restraint, alternate assessment, equitable employment opportunities, </w:t>
      </w:r>
      <w:proofErr w:type="spellStart"/>
      <w:r>
        <w:rPr>
          <w:rFonts w:ascii="Calibri" w:eastAsia="Times New Roman" w:hAnsi="Calibri"/>
          <w:color w:val="000000"/>
          <w:sz w:val="22"/>
          <w:szCs w:val="22"/>
          <w:shd w:val="clear" w:color="auto" w:fill="FFFFFF"/>
        </w:rPr>
        <w:lastRenderedPageBreak/>
        <w:t>AbilityOne</w:t>
      </w:r>
      <w:proofErr w:type="spellEnd"/>
      <w:r>
        <w:rPr>
          <w:rFonts w:ascii="Calibri" w:eastAsia="Times New Roman" w:hAnsi="Calibri"/>
          <w:color w:val="000000"/>
          <w:sz w:val="22"/>
          <w:szCs w:val="22"/>
          <w:shd w:val="clear" w:color="auto" w:fill="FFFFFF"/>
        </w:rPr>
        <w:t>, efforts to phase out subminimum wage, health care broadly, home and community based services, health disparities, Medicaid, and disability rights.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shd w:val="clear" w:color="auto" w:fill="FFFFFF"/>
        </w:rPr>
        <w:t>Communications Intern</w:t>
      </w:r>
      <w:r>
        <w:rPr>
          <w:rFonts w:ascii="Calibri" w:hAnsi="Calibri"/>
          <w:color w:val="201F1E"/>
          <w:sz w:val="22"/>
          <w:szCs w:val="22"/>
          <w:shd w:val="clear" w:color="auto" w:fill="FFFFFF"/>
        </w:rPr>
        <w:t>: interest in press and communications, including: social media, press releases, speechwriting, op-ed writing, and media outreach (ii) an interest in public policy and (iii) a desire to learn. Strong candidates will demonstrate good attention to detail, work well under pressure, be self-motivated, and possess excellent written and oral communication skills. Writing and research experience preferred. Policy issues will vary. Applicants for the communications position should prioritize press-oriented writing samples over academic-oriented ones. </w:t>
      </w:r>
      <w:r>
        <w:rPr>
          <w:rFonts w:ascii="Calibri" w:hAnsi="Calibri"/>
          <w:b/>
          <w:bCs/>
          <w:color w:val="201F1E"/>
          <w:sz w:val="22"/>
          <w:szCs w:val="22"/>
          <w:shd w:val="clear" w:color="auto" w:fill="FFFFFF"/>
        </w:rPr>
        <w:t>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shd w:val="clear" w:color="auto" w:fill="FFFFFF"/>
        </w:rPr>
        <w:t>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b/>
          <w:bCs/>
          <w:color w:val="201F1E"/>
          <w:sz w:val="22"/>
          <w:szCs w:val="22"/>
          <w:u w:val="single"/>
          <w:shd w:val="clear" w:color="auto" w:fill="FFFFFF"/>
        </w:rPr>
        <w:t>Applications</w:t>
      </w:r>
      <w:r>
        <w:rPr>
          <w:rFonts w:ascii="Calibri" w:hAnsi="Calibri"/>
          <w:color w:val="201F1E"/>
          <w:sz w:val="22"/>
          <w:szCs w:val="22"/>
          <w:u w:val="single"/>
          <w:shd w:val="clear" w:color="auto" w:fill="FFFFFF"/>
        </w:rPr>
        <w:t>:</w:t>
      </w:r>
      <w:r>
        <w:rPr>
          <w:rFonts w:ascii="Calibri" w:hAnsi="Calibri"/>
          <w:color w:val="201F1E"/>
          <w:sz w:val="22"/>
          <w:szCs w:val="22"/>
          <w:shd w:val="clear" w:color="auto" w:fill="FFFFFF"/>
        </w:rPr>
        <w:t> Interested applicants should apply to this position by submitting a cover letter, resume, writing sample, and application form found on the </w:t>
      </w:r>
      <w:hyperlink r:id="rId4" w:tgtFrame="_blank" w:tooltip="Original URL: https://oampublic.senate.gov/constituent/login/758d3130-58e9-4402-a15f-ad181fbefa68. Click or tap if you trust this link." w:history="1">
        <w:r>
          <w:rPr>
            <w:rStyle w:val="Hyperlink"/>
            <w:rFonts w:ascii="Calibri" w:hAnsi="Calibri"/>
            <w:sz w:val="22"/>
            <w:szCs w:val="22"/>
            <w:shd w:val="clear" w:color="auto" w:fill="FFFFFF"/>
          </w:rPr>
          <w:t>OAM website</w:t>
        </w:r>
      </w:hyperlink>
      <w:r>
        <w:rPr>
          <w:rFonts w:ascii="Calibri" w:hAnsi="Calibri"/>
          <w:color w:val="201F1E"/>
          <w:sz w:val="22"/>
          <w:szCs w:val="22"/>
          <w:shd w:val="clear" w:color="auto" w:fill="FFFFFF"/>
        </w:rPr>
        <w:t>. New users will have to sign up on the OAM portal to apply. </w:t>
      </w:r>
      <w:r>
        <w:rPr>
          <w:rFonts w:ascii="Calibri" w:hAnsi="Calibri"/>
          <w:color w:val="201F1E"/>
          <w:sz w:val="22"/>
          <w:szCs w:val="22"/>
          <w:u w:val="single"/>
          <w:shd w:val="clear" w:color="auto" w:fill="FFFFFF"/>
        </w:rPr>
        <w:t>Please indicate your availability</w:t>
      </w:r>
      <w:r>
        <w:rPr>
          <w:rFonts w:ascii="Calibri" w:hAnsi="Calibri"/>
          <w:color w:val="201F1E"/>
          <w:sz w:val="22"/>
          <w:szCs w:val="22"/>
          <w:shd w:val="clear" w:color="auto" w:fill="FFFFFF"/>
        </w:rPr>
        <w:t>. The deadline for the spring 2020 internship program is </w:t>
      </w:r>
      <w:r>
        <w:rPr>
          <w:rFonts w:ascii="Calibri" w:hAnsi="Calibri"/>
          <w:b/>
          <w:bCs/>
          <w:color w:val="201F1E"/>
          <w:sz w:val="22"/>
          <w:szCs w:val="22"/>
          <w:u w:val="single"/>
          <w:shd w:val="clear" w:color="auto" w:fill="FFFFFF"/>
        </w:rPr>
        <w:t xml:space="preserve">Friday, November </w:t>
      </w:r>
      <w:proofErr w:type="gramStart"/>
      <w:r>
        <w:rPr>
          <w:rFonts w:ascii="Calibri" w:hAnsi="Calibri"/>
          <w:b/>
          <w:bCs/>
          <w:color w:val="201F1E"/>
          <w:sz w:val="22"/>
          <w:szCs w:val="22"/>
          <w:u w:val="single"/>
          <w:shd w:val="clear" w:color="auto" w:fill="FFFFFF"/>
        </w:rPr>
        <w:t>1st</w:t>
      </w:r>
      <w:proofErr w:type="gramEnd"/>
      <w:r>
        <w:rPr>
          <w:rFonts w:ascii="Calibri" w:hAnsi="Calibri"/>
          <w:b/>
          <w:bCs/>
          <w:color w:val="201F1E"/>
          <w:sz w:val="22"/>
          <w:szCs w:val="22"/>
          <w:u w:val="single"/>
          <w:shd w:val="clear" w:color="auto" w:fill="FFFFFF"/>
        </w:rPr>
        <w:t>, 2019</w:t>
      </w:r>
      <w:r>
        <w:rPr>
          <w:rFonts w:ascii="Calibri" w:hAnsi="Calibri"/>
          <w:color w:val="201F1E"/>
          <w:sz w:val="22"/>
          <w:szCs w:val="22"/>
          <w:shd w:val="clear" w:color="auto" w:fill="FFFFFF"/>
        </w:rPr>
        <w:t xml:space="preserve">. This office is an equal opportunity employer. We do not discriminate </w:t>
      </w:r>
      <w:proofErr w:type="gramStart"/>
      <w:r>
        <w:rPr>
          <w:rFonts w:ascii="Calibri" w:hAnsi="Calibri"/>
          <w:color w:val="201F1E"/>
          <w:sz w:val="22"/>
          <w:szCs w:val="22"/>
          <w:shd w:val="clear" w:color="auto" w:fill="FFFFFF"/>
        </w:rPr>
        <w:t>on the basis of</w:t>
      </w:r>
      <w:proofErr w:type="gramEnd"/>
      <w:r>
        <w:rPr>
          <w:rFonts w:ascii="Calibri" w:hAnsi="Calibri"/>
          <w:color w:val="201F1E"/>
          <w:sz w:val="22"/>
          <w:szCs w:val="22"/>
          <w:shd w:val="clear" w:color="auto" w:fill="FFFFFF"/>
        </w:rPr>
        <w:t xml:space="preserve"> race, color, religion, sex (including gender identity or sexual orientation), national origin, age, disability, gender, uniformed service, genetic information, or any other factor.</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color w:val="201F1E"/>
          <w:sz w:val="22"/>
          <w:szCs w:val="22"/>
          <w:shd w:val="clear" w:color="auto" w:fill="FFFFFF"/>
        </w:rPr>
        <w:t>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color w:val="201F1E"/>
          <w:sz w:val="22"/>
          <w:szCs w:val="22"/>
          <w:shd w:val="clear" w:color="auto" w:fill="FFFFFF"/>
        </w:rPr>
        <w:t>Please let me know if you have any questions.</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color w:val="201F1E"/>
          <w:sz w:val="22"/>
          <w:szCs w:val="22"/>
          <w:shd w:val="clear" w:color="auto" w:fill="FFFFFF"/>
        </w:rPr>
        <w:t>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color w:val="201F1E"/>
          <w:sz w:val="22"/>
          <w:szCs w:val="22"/>
          <w:shd w:val="clear" w:color="auto" w:fill="FFFFFF"/>
        </w:rPr>
        <w:t>Kind Regards,</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Calibri" w:hAnsi="Calibri"/>
          <w:color w:val="201F1E"/>
          <w:sz w:val="22"/>
          <w:szCs w:val="22"/>
          <w:shd w:val="clear" w:color="auto" w:fill="FFFFFF"/>
        </w:rPr>
        <w:t> </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Minion Pro" w:hAnsi="Minion Pro"/>
          <w:b/>
          <w:bCs/>
          <w:color w:val="201F1E"/>
          <w:sz w:val="22"/>
          <w:szCs w:val="22"/>
          <w:shd w:val="clear" w:color="auto" w:fill="FFFFFF"/>
        </w:rPr>
        <w:t>Michelle Sánchez</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Minion Pro" w:hAnsi="Minion Pro"/>
          <w:color w:val="201F1E"/>
          <w:sz w:val="22"/>
          <w:szCs w:val="22"/>
          <w:shd w:val="clear" w:color="auto" w:fill="FFFFFF"/>
        </w:rPr>
        <w:t>Staff Assistant</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Minion Pro" w:hAnsi="Minion Pro"/>
          <w:color w:val="201F1E"/>
          <w:sz w:val="22"/>
          <w:szCs w:val="22"/>
          <w:shd w:val="clear" w:color="auto" w:fill="FFFFFF"/>
        </w:rPr>
        <w:t>U.S. Senate Committee on Health, Education, Labor &amp; Pensions</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Minion Pro" w:hAnsi="Minion Pro"/>
          <w:color w:val="201F1E"/>
          <w:sz w:val="22"/>
          <w:szCs w:val="22"/>
          <w:shd w:val="clear" w:color="auto" w:fill="FFFFFF"/>
        </w:rPr>
        <w:t>Ranking Member, Senator Patty Murray (D-WA)</w:t>
      </w:r>
    </w:p>
    <w:p w:rsidR="00F43A6B" w:rsidRDefault="00F43A6B" w:rsidP="00F43A6B">
      <w:pPr>
        <w:pStyle w:val="NormalWeb"/>
        <w:shd w:val="clear" w:color="auto" w:fill="FFFFFF"/>
        <w:rPr>
          <w:rFonts w:ascii="Calibri" w:hAnsi="Calibri"/>
          <w:color w:val="201F1E"/>
          <w:sz w:val="22"/>
          <w:szCs w:val="22"/>
          <w:shd w:val="clear" w:color="auto" w:fill="FFFFFF"/>
        </w:rPr>
      </w:pPr>
      <w:r>
        <w:rPr>
          <w:rFonts w:ascii="Minion Pro" w:hAnsi="Minion Pro"/>
          <w:color w:val="201F1E"/>
          <w:sz w:val="22"/>
          <w:szCs w:val="22"/>
          <w:shd w:val="clear" w:color="auto" w:fill="FFFFFF"/>
        </w:rPr>
        <w:t>(202) 224-0767</w:t>
      </w:r>
    </w:p>
    <w:p w:rsidR="00B6254A" w:rsidRDefault="00B6254A"/>
    <w:sectPr w:rsidR="00B6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6B"/>
    <w:rsid w:val="00B6254A"/>
    <w:rsid w:val="00F4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3C0B"/>
  <w15:chartTrackingRefBased/>
  <w15:docId w15:val="{33BAC152-1666-4C77-A825-E5E82259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A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A6B"/>
    <w:rPr>
      <w:color w:val="0000FF"/>
      <w:u w:val="single"/>
    </w:rPr>
  </w:style>
  <w:style w:type="paragraph" w:styleId="NormalWeb">
    <w:name w:val="Normal (Web)"/>
    <w:basedOn w:val="Normal"/>
    <w:uiPriority w:val="99"/>
    <w:semiHidden/>
    <w:unhideWhenUsed/>
    <w:rsid w:val="00F43A6B"/>
  </w:style>
  <w:style w:type="character" w:styleId="Strong">
    <w:name w:val="Strong"/>
    <w:basedOn w:val="DefaultParagraphFont"/>
    <w:uiPriority w:val="22"/>
    <w:qFormat/>
    <w:rsid w:val="00F43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oampublic.senate.gov%2Fconstituent%2Flogin%2F758d3130-58e9-4402-a15f-ad181fbefa68&amp;data=02%7C01%7Cbrownt2%40seattleu.edu%7Cf08b7cbab22644e33d1108d742466bd6%7Cbc10e052b01c48499967ee7ec74fc9d8%7C0%7C0%7C637050743503562319&amp;sdata=yAYxWgz103Qqfp2mvgIvEjQgKOaL3m72y%2FKHjeKMAv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4956</Characters>
  <Application>Microsoft Office Word</Application>
  <DocSecurity>0</DocSecurity>
  <Lines>41</Lines>
  <Paragraphs>11</Paragraphs>
  <ScaleCrop>false</ScaleCrop>
  <Company>Seattle University</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Tonja</dc:creator>
  <cp:keywords/>
  <dc:description/>
  <cp:lastModifiedBy>Brown, Tonja</cp:lastModifiedBy>
  <cp:revision>1</cp:revision>
  <dcterms:created xsi:type="dcterms:W3CDTF">2019-09-26T16:11:00Z</dcterms:created>
  <dcterms:modified xsi:type="dcterms:W3CDTF">2019-09-26T16:12:00Z</dcterms:modified>
</cp:coreProperties>
</file>